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750BCC82" w:rsidR="00BF079A" w:rsidRPr="00081DCF" w:rsidRDefault="00172032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A.</w:t>
      </w:r>
      <w:r w:rsidR="00CA081D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</w:t>
      </w:r>
      <w:r w:rsidR="005B4A71" w:rsidRPr="00081DCF">
        <w:rPr>
          <w:rFonts w:ascii="Arial" w:hAnsi="Arial" w:cs="Arial"/>
        </w:rPr>
        <w:t xml:space="preserve">dotazník pro </w:t>
      </w:r>
      <w:r w:rsidR="00FA7078">
        <w:rPr>
          <w:rFonts w:ascii="Arial" w:hAnsi="Arial" w:cs="Arial"/>
        </w:rPr>
        <w:t>střední podniky</w:t>
      </w:r>
      <w:r w:rsidR="005B4A71" w:rsidRPr="00081DCF">
        <w:rPr>
          <w:rFonts w:ascii="Arial" w:hAnsi="Arial" w:cs="Arial"/>
        </w:rPr>
        <w:t xml:space="preserve"> (</w:t>
      </w:r>
      <w:r w:rsidR="00FA7078">
        <w:rPr>
          <w:rFonts w:ascii="Arial" w:hAnsi="Arial" w:cs="Arial"/>
        </w:rPr>
        <w:t>51-250</w:t>
      </w:r>
      <w:r w:rsidR="005B4A71" w:rsidRPr="00081DCF">
        <w:rPr>
          <w:rFonts w:ascii="Arial" w:hAnsi="Arial" w:cs="Arial"/>
        </w:rPr>
        <w:t xml:space="preserve"> zaměstnanců</w:t>
      </w:r>
      <w:r w:rsidR="00FA7078">
        <w:rPr>
          <w:rFonts w:ascii="Arial" w:hAnsi="Arial" w:cs="Arial"/>
        </w:rPr>
        <w:t xml:space="preserve"> včetně</w:t>
      </w:r>
      <w:r w:rsidR="005B4A71" w:rsidRPr="00081DCF">
        <w:rPr>
          <w:rFonts w:ascii="Arial" w:hAnsi="Arial" w:cs="Arial"/>
        </w:rPr>
        <w:t>)</w:t>
      </w:r>
      <w:r w:rsidR="00BF079A" w:rsidRPr="00081DCF">
        <w:rPr>
          <w:rFonts w:ascii="Arial" w:hAnsi="Arial" w:cs="Arial"/>
        </w:rPr>
        <w:t xml:space="preserve"> </w:t>
      </w:r>
    </w:p>
    <w:p w14:paraId="02CA3605" w14:textId="081FA76E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1AD2EECB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769FE377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564B0D" w:rsidRPr="00081DCF">
        <w:rPr>
          <w:rFonts w:ascii="Arial" w:hAnsi="Arial" w:cs="Arial"/>
          <w:color w:val="auto"/>
          <w:szCs w:val="22"/>
        </w:rPr>
        <w:t>pro</w:t>
      </w:r>
      <w:r w:rsidR="000A3376">
        <w:rPr>
          <w:rFonts w:ascii="Arial" w:hAnsi="Arial" w:cs="Arial"/>
          <w:color w:val="auto"/>
          <w:szCs w:val="22"/>
        </w:rPr>
        <w:t>běhla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C5870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3C5870" w:rsidRPr="00081DCF">
        <w:rPr>
          <w:rFonts w:ascii="Arial" w:hAnsi="Arial" w:cs="Arial"/>
          <w:color w:val="auto"/>
          <w:szCs w:val="22"/>
        </w:rPr>
        <w:t xml:space="preserve">firmě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45D0C7F2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</w:t>
      </w:r>
      <w:r w:rsidR="000A3376">
        <w:rPr>
          <w:rFonts w:ascii="Arial" w:hAnsi="Arial" w:cs="Arial"/>
          <w:color w:val="auto"/>
          <w:szCs w:val="22"/>
        </w:rPr>
        <w:t>firmy</w:t>
      </w:r>
      <w:r w:rsidRPr="00081DCF">
        <w:rPr>
          <w:rFonts w:ascii="Arial" w:hAnsi="Arial" w:cs="Arial"/>
          <w:color w:val="auto"/>
          <w:szCs w:val="22"/>
        </w:rPr>
        <w:t xml:space="preserve">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081DCF">
        <w:rPr>
          <w:rFonts w:ascii="Arial" w:hAnsi="Arial" w:cs="Arial"/>
          <w:color w:val="auto"/>
          <w:szCs w:val="22"/>
        </w:rPr>
        <w:t xml:space="preserve">firmy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3AE7F0E5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firmou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7DC40838" w:rsidR="00BB0BEF" w:rsidRPr="00081DCF" w:rsidRDefault="000A3376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="00BB0BEF"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="00BB0BEF"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="00BB0BEF"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="00BB0BEF"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="00BB0BEF"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445505F0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 xml:space="preserve">dovolené a jejich žádosti bylo vyhověno, </w:t>
      </w:r>
      <w:r w:rsidR="000A3376">
        <w:rPr>
          <w:rFonts w:ascii="Arial" w:hAnsi="Arial" w:cs="Arial"/>
          <w:color w:val="auto"/>
          <w:szCs w:val="22"/>
        </w:rPr>
        <w:t xml:space="preserve">pokud tomu </w:t>
      </w:r>
      <w:r w:rsidRPr="00081DCF">
        <w:rPr>
          <w:rFonts w:ascii="Arial" w:hAnsi="Arial" w:cs="Arial"/>
          <w:color w:val="auto"/>
          <w:szCs w:val="22"/>
        </w:rPr>
        <w:t>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="000A3376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06ED4560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 </w:t>
      </w:r>
      <w:r w:rsidR="00EA1E32">
        <w:rPr>
          <w:rFonts w:ascii="Arial" w:hAnsi="Arial" w:cs="Arial"/>
          <w:color w:val="auto"/>
          <w:szCs w:val="22"/>
        </w:rPr>
        <w:t>vedením</w:t>
      </w:r>
      <w:r w:rsidRPr="00081DCF">
        <w:rPr>
          <w:rFonts w:ascii="Arial" w:hAnsi="Arial" w:cs="Arial"/>
          <w:color w:val="auto"/>
          <w:szCs w:val="22"/>
        </w:rPr>
        <w:t xml:space="preserve">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65B9152D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</w:t>
      </w:r>
      <w:r w:rsidR="00EA1E32">
        <w:rPr>
          <w:rFonts w:ascii="Arial" w:hAnsi="Arial" w:cs="Arial"/>
        </w:rPr>
        <w:t>vedením</w:t>
      </w:r>
      <w:r w:rsidRPr="00081DCF">
        <w:rPr>
          <w:rFonts w:ascii="Arial" w:hAnsi="Arial" w:cs="Arial"/>
        </w:rPr>
        <w:t xml:space="preserve">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351C2F96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např. se může jednat o spolupráci na výuce/odborných zkouškách, umožňování exkurzí, stáží, bakalářských či diplomových prací, odborného výcviku ve firmě,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C8E3B0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firmy</w:t>
      </w:r>
      <w:r w:rsidRPr="00081DCF">
        <w:rPr>
          <w:rFonts w:ascii="Arial" w:hAnsi="Arial" w:cs="Arial"/>
          <w:color w:val="auto"/>
          <w:szCs w:val="22"/>
        </w:rPr>
        <w:t xml:space="preserve"> 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6343C2F7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 w:rsidRPr="00081DCF">
        <w:rPr>
          <w:rFonts w:ascii="Arial" w:hAnsi="Arial" w:cs="Arial"/>
          <w:color w:val="auto"/>
          <w:szCs w:val="22"/>
        </w:rPr>
        <w:t>Firma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3795F9A1" w14:textId="2D5D9A35" w:rsidR="0088219D" w:rsidRPr="00081DCF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081DCF">
        <w:rPr>
          <w:rFonts w:ascii="Arial" w:hAnsi="Arial" w:cs="Arial"/>
          <w:color w:val="auto"/>
          <w:szCs w:val="22"/>
        </w:rPr>
        <w:t xml:space="preserve">a přínos pro společnost </w:t>
      </w:r>
      <w:r w:rsidRPr="00081DCF">
        <w:rPr>
          <w:rFonts w:ascii="Arial" w:hAnsi="Arial" w:cs="Arial"/>
          <w:color w:val="auto"/>
          <w:szCs w:val="22"/>
        </w:rPr>
        <w:t xml:space="preserve">(tj. realizovali jsme alespoň jednu tzv. impaktovou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2106E3" w14:textId="77777777" w:rsidR="00EA1E32" w:rsidRDefault="00EA1E32" w:rsidP="001D0BC8">
      <w:pPr>
        <w:rPr>
          <w:rFonts w:ascii="Arial" w:hAnsi="Arial" w:cs="Arial"/>
          <w:b/>
        </w:rPr>
      </w:pPr>
    </w:p>
    <w:p w14:paraId="129C806C" w14:textId="0442A783" w:rsidR="001D0BC8" w:rsidRPr="00081DCF" w:rsidRDefault="00EA1E32" w:rsidP="001D0B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Bli</w:t>
      </w:r>
      <w:r w:rsidR="001D0BC8" w:rsidRPr="00081DCF">
        <w:rPr>
          <w:rFonts w:ascii="Arial" w:hAnsi="Arial" w:cs="Arial"/>
          <w:b/>
        </w:rPr>
        <w:t>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0C6E14A7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8C687A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1B4B1847" w14:textId="77777777" w:rsidR="00B36712" w:rsidRPr="00081DCF" w:rsidRDefault="00B36712">
      <w:pPr>
        <w:rPr>
          <w:rFonts w:ascii="Arial" w:hAnsi="Arial" w:cs="Arial"/>
          <w:caps/>
        </w:rPr>
      </w:pP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748920DC" w14:textId="27C467CB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ve firmě.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385D52C5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2D5BD591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90666" w:rsidRPr="00081DCF">
        <w:rPr>
          <w:rFonts w:ascii="Arial" w:hAnsi="Arial" w:cs="Arial"/>
          <w:color w:val="auto"/>
          <w:szCs w:val="22"/>
        </w:rPr>
        <w:t xml:space="preserve">existoval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firmy</w:t>
      </w:r>
      <w:r w:rsidR="00780F37" w:rsidRPr="00081DCF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1228528C" w:rsidR="00780F37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081DCF">
        <w:rPr>
          <w:rFonts w:ascii="Arial" w:hAnsi="Arial" w:cs="Arial"/>
          <w:color w:val="auto"/>
          <w:szCs w:val="22"/>
        </w:rPr>
        <w:t>byli</w:t>
      </w:r>
      <w:r w:rsidR="00C90666" w:rsidRPr="00081DCF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081DCF">
        <w:rPr>
          <w:rFonts w:ascii="Arial" w:hAnsi="Arial" w:cs="Arial"/>
          <w:color w:val="auto"/>
          <w:szCs w:val="22"/>
        </w:rPr>
        <w:t xml:space="preserve"> zaměstnanc</w:t>
      </w:r>
      <w:r w:rsidR="00733850" w:rsidRPr="00081DCF">
        <w:rPr>
          <w:rFonts w:ascii="Arial" w:hAnsi="Arial" w:cs="Arial"/>
          <w:color w:val="auto"/>
          <w:szCs w:val="22"/>
        </w:rPr>
        <w:t>ům</w:t>
      </w:r>
      <w:r w:rsidR="00DF393F">
        <w:rPr>
          <w:rFonts w:ascii="Arial" w:hAnsi="Arial" w:cs="Arial"/>
          <w:color w:val="auto"/>
          <w:szCs w:val="22"/>
        </w:rPr>
        <w:t xml:space="preserve"> anebo f</w:t>
      </w:r>
      <w:r w:rsidR="007D0C4A">
        <w:rPr>
          <w:rFonts w:ascii="Arial" w:hAnsi="Arial" w:cs="Arial"/>
          <w:color w:val="auto"/>
          <w:szCs w:val="22"/>
        </w:rPr>
        <w:t>irma agenturní pracovníky vůbec nevyužívá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578148C7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</w:t>
      </w:r>
      <w:r w:rsidR="000A3376">
        <w:rPr>
          <w:rFonts w:ascii="Arial" w:hAnsi="Arial" w:cs="Arial"/>
          <w:color w:val="auto"/>
          <w:szCs w:val="22"/>
        </w:rPr>
        <w:t>ve frimě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20 %.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009"/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4F4A5493" w14:textId="241C47D0" w:rsidR="001F2D6B" w:rsidRPr="00081DCF" w:rsidRDefault="001F2D6B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Firma pravidelně sleduje a vyhodnocuje rozdíly v odměňování mužů a žen na stejných pozicích</w:t>
      </w:r>
      <w:r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6C57C0F2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 xml:space="preserve">i těm starším 60 let) bylo </w:t>
      </w:r>
      <w:r w:rsidR="000A3376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Default="00C45D4B" w:rsidP="001D0BC8">
      <w:pPr>
        <w:rPr>
          <w:rFonts w:ascii="Arial" w:hAnsi="Arial" w:cs="Arial"/>
          <w:b/>
        </w:rPr>
      </w:pPr>
    </w:p>
    <w:p w14:paraId="68622B99" w14:textId="77777777" w:rsidR="00BC1DAF" w:rsidRDefault="00BC1DAF" w:rsidP="001D0BC8">
      <w:pPr>
        <w:rPr>
          <w:rFonts w:ascii="Arial" w:hAnsi="Arial" w:cs="Arial"/>
          <w:b/>
        </w:rPr>
      </w:pPr>
    </w:p>
    <w:p w14:paraId="698FF67E" w14:textId="77777777" w:rsidR="00BC1DAF" w:rsidRDefault="00BC1DAF" w:rsidP="001D0BC8">
      <w:pPr>
        <w:rPr>
          <w:rFonts w:ascii="Arial" w:hAnsi="Arial" w:cs="Arial"/>
          <w:b/>
        </w:rPr>
      </w:pPr>
    </w:p>
    <w:p w14:paraId="61E238E2" w14:textId="77777777" w:rsidR="00BC1DAF" w:rsidRDefault="00BC1DAF" w:rsidP="001D0BC8">
      <w:pPr>
        <w:rPr>
          <w:rFonts w:ascii="Arial" w:hAnsi="Arial" w:cs="Arial"/>
          <w:b/>
        </w:rPr>
      </w:pPr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2E27C064" w:rsidR="00BC1DAF" w:rsidRDefault="00BC1DAF" w:rsidP="00BC1DAF">
      <w:pPr>
        <w:rPr>
          <w:rFonts w:ascii="Arial" w:hAnsi="Arial" w:cs="Arial"/>
        </w:rPr>
      </w:pPr>
      <w:bookmarkStart w:id="5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3D1DD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5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00BF5FD" w14:textId="77777777" w:rsidR="003A6B09" w:rsidRPr="00081DCF" w:rsidRDefault="003A6B0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9F8675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38525D" w:rsidRPr="00081DCF">
        <w:rPr>
          <w:rFonts w:ascii="Arial" w:hAnsi="Arial" w:cs="Arial"/>
          <w:color w:val="auto"/>
          <w:szCs w:val="22"/>
        </w:rPr>
        <w:t>firma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081DCF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byly zaměstnány </w:t>
      </w:r>
      <w:r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375A802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3D1DDB">
        <w:rPr>
          <w:rFonts w:ascii="Arial" w:hAnsi="Arial" w:cs="Arial"/>
          <w:color w:val="auto"/>
          <w:szCs w:val="22"/>
        </w:rPr>
        <w:t>1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26977453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3D1DDB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152F2D82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firmy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041DCBD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firemní strategie 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firemní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77777777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naší firmě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7777777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3735AB01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19075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2A4F" id="Obdélník 48" o:spid="_x0000_s1026" style="position:absolute;margin-left:-9.85pt;margin-top:14.35pt;width:477.75pt;height:172.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54E49A92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A3376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2188BE7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079CAB23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2ADC723F" w:rsidR="00E842BC" w:rsidRPr="00081DCF" w:rsidRDefault="00E842BC" w:rsidP="00E842B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88ADD6F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68130C8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>Odpovědnost za rozvoj zaměstnanců</w:t>
      </w:r>
    </w:p>
    <w:p w14:paraId="685AAAEF" w14:textId="081DB4F2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7" w:name="_Hlk76631106"/>
      <w:r w:rsidRPr="00081DCF">
        <w:rPr>
          <w:rFonts w:ascii="Arial" w:hAnsi="Arial" w:cs="Arial"/>
          <w:color w:val="auto"/>
          <w:szCs w:val="22"/>
        </w:rPr>
        <w:t>Firma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7"/>
    <w:p w14:paraId="5A003144" w14:textId="3286C73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4CB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72032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788D5B2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450E6046" w:rsidR="002F767A" w:rsidRPr="00081DCF" w:rsidRDefault="000A3376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="002F767A"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F601C93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7C520387" w:rsidR="00A2431D" w:rsidRPr="00081DCF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7AA2B77B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081DCF" w:rsidRDefault="00D1588E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plavenky, permanentky do posilovny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34684573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firmy mohli využít k dovolené firemní chatu, služební byt či jiný fir</w:t>
      </w:r>
      <w:r w:rsidR="00DE17FF">
        <w:rPr>
          <w:rFonts w:ascii="Arial" w:hAnsi="Arial" w:cs="Arial"/>
          <w:color w:val="auto"/>
          <w:szCs w:val="22"/>
        </w:rPr>
        <w:t>mou 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518AC7B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41D708D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205E1F0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0C9525A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2F9CB16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0BA9EF5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</w:t>
      </w:r>
      <w:r w:rsidR="000A3376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709D6E21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9C3FDE">
        <w:rPr>
          <w:rFonts w:ascii="Arial" w:hAnsi="Arial" w:cs="Arial"/>
          <w:color w:val="auto"/>
          <w:szCs w:val="22"/>
        </w:rPr>
        <w:t>15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525C314A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9C3FDE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>0 % zaměstnanců ve firmě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398BDCB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 areálu zaměstnavatele</w:t>
      </w:r>
      <w:r w:rsidR="009C3FDE">
        <w:rPr>
          <w:rFonts w:ascii="Arial" w:hAnsi="Arial" w:cs="Arial"/>
          <w:color w:val="auto"/>
          <w:szCs w:val="22"/>
        </w:rPr>
        <w:t xml:space="preserve"> nebo do cca 10 minut pěší chůze</w:t>
      </w:r>
      <w:r w:rsidRPr="00081DCF">
        <w:rPr>
          <w:rFonts w:ascii="Arial" w:hAnsi="Arial" w:cs="Arial"/>
          <w:color w:val="auto"/>
          <w:szCs w:val="22"/>
        </w:rPr>
        <w:t xml:space="preserve"> 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D9303C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19212E8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6FE220BE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1FB9F7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18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6332EF1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1707EF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725CA11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9C3FDE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1BB3E65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9C3FDE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2113571C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9C3FDE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31605C0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9C3FDE">
        <w:rPr>
          <w:rFonts w:ascii="Arial" w:hAnsi="Arial" w:cs="Arial"/>
        </w:rPr>
        <w:t>27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02C78261" w14:textId="2C1C0F4F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9C3FDE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8FBDF23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60D1014E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9C3FDE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72F4" w14:textId="77777777" w:rsidR="00D928D3" w:rsidRDefault="00D928D3" w:rsidP="005423B1">
      <w:pPr>
        <w:spacing w:after="0" w:line="240" w:lineRule="auto"/>
      </w:pPr>
      <w:r>
        <w:separator/>
      </w:r>
    </w:p>
  </w:endnote>
  <w:endnote w:type="continuationSeparator" w:id="0">
    <w:p w14:paraId="28EAB02F" w14:textId="77777777" w:rsidR="00D928D3" w:rsidRDefault="00D928D3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C46C" w14:textId="77777777" w:rsidR="00D928D3" w:rsidRDefault="00D928D3" w:rsidP="005423B1">
      <w:pPr>
        <w:spacing w:after="0" w:line="240" w:lineRule="auto"/>
      </w:pPr>
      <w:r>
        <w:separator/>
      </w:r>
    </w:p>
  </w:footnote>
  <w:footnote w:type="continuationSeparator" w:id="0">
    <w:p w14:paraId="2CC77CA1" w14:textId="77777777" w:rsidR="00D928D3" w:rsidRDefault="00D928D3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9533A"/>
    <w:rsid w:val="000A3376"/>
    <w:rsid w:val="000A6887"/>
    <w:rsid w:val="000B633D"/>
    <w:rsid w:val="000C1E88"/>
    <w:rsid w:val="000E1965"/>
    <w:rsid w:val="000E2229"/>
    <w:rsid w:val="00120314"/>
    <w:rsid w:val="001535E2"/>
    <w:rsid w:val="001707EF"/>
    <w:rsid w:val="00172032"/>
    <w:rsid w:val="001862DC"/>
    <w:rsid w:val="001905E7"/>
    <w:rsid w:val="001B31EF"/>
    <w:rsid w:val="001D0BC8"/>
    <w:rsid w:val="001D1DA5"/>
    <w:rsid w:val="001E285D"/>
    <w:rsid w:val="001F2D6B"/>
    <w:rsid w:val="002038B0"/>
    <w:rsid w:val="00215616"/>
    <w:rsid w:val="00240031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4C0B"/>
    <w:rsid w:val="0034555B"/>
    <w:rsid w:val="00353257"/>
    <w:rsid w:val="00364EC2"/>
    <w:rsid w:val="00374B63"/>
    <w:rsid w:val="0038525D"/>
    <w:rsid w:val="0039488F"/>
    <w:rsid w:val="003A6B09"/>
    <w:rsid w:val="003B0526"/>
    <w:rsid w:val="003B14D7"/>
    <w:rsid w:val="003C5870"/>
    <w:rsid w:val="003D1227"/>
    <w:rsid w:val="003D1DDB"/>
    <w:rsid w:val="00441D67"/>
    <w:rsid w:val="00467796"/>
    <w:rsid w:val="004719AD"/>
    <w:rsid w:val="00481DC9"/>
    <w:rsid w:val="0048256C"/>
    <w:rsid w:val="00482998"/>
    <w:rsid w:val="004B75D0"/>
    <w:rsid w:val="004C2E36"/>
    <w:rsid w:val="004C33CD"/>
    <w:rsid w:val="004C769D"/>
    <w:rsid w:val="004D147C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24D64"/>
    <w:rsid w:val="00634092"/>
    <w:rsid w:val="006344C1"/>
    <w:rsid w:val="00653CAE"/>
    <w:rsid w:val="00666C5C"/>
    <w:rsid w:val="006753A4"/>
    <w:rsid w:val="00687376"/>
    <w:rsid w:val="006A79D2"/>
    <w:rsid w:val="006B0A29"/>
    <w:rsid w:val="006B118F"/>
    <w:rsid w:val="006C1B26"/>
    <w:rsid w:val="006D1100"/>
    <w:rsid w:val="006E2B13"/>
    <w:rsid w:val="007014B0"/>
    <w:rsid w:val="00726194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6A55"/>
    <w:rsid w:val="0088219D"/>
    <w:rsid w:val="00883C84"/>
    <w:rsid w:val="008B0ED3"/>
    <w:rsid w:val="008C3081"/>
    <w:rsid w:val="008C687A"/>
    <w:rsid w:val="0090130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9C3FDE"/>
    <w:rsid w:val="009D1165"/>
    <w:rsid w:val="00A00B21"/>
    <w:rsid w:val="00A12D46"/>
    <w:rsid w:val="00A23938"/>
    <w:rsid w:val="00A2431D"/>
    <w:rsid w:val="00A274C0"/>
    <w:rsid w:val="00A420C1"/>
    <w:rsid w:val="00A57FF2"/>
    <w:rsid w:val="00A60D9C"/>
    <w:rsid w:val="00A65C37"/>
    <w:rsid w:val="00A667E6"/>
    <w:rsid w:val="00A679E3"/>
    <w:rsid w:val="00A931AB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7EE8"/>
    <w:rsid w:val="00C87F1B"/>
    <w:rsid w:val="00C90666"/>
    <w:rsid w:val="00CA081D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28D3"/>
    <w:rsid w:val="00D937A4"/>
    <w:rsid w:val="00DB2488"/>
    <w:rsid w:val="00DB3DAB"/>
    <w:rsid w:val="00DD22E5"/>
    <w:rsid w:val="00DD68A9"/>
    <w:rsid w:val="00DE17FF"/>
    <w:rsid w:val="00DF393F"/>
    <w:rsid w:val="00DF530C"/>
    <w:rsid w:val="00E05E52"/>
    <w:rsid w:val="00E11165"/>
    <w:rsid w:val="00E139CD"/>
    <w:rsid w:val="00E259DB"/>
    <w:rsid w:val="00E413C6"/>
    <w:rsid w:val="00E46AF3"/>
    <w:rsid w:val="00E842BC"/>
    <w:rsid w:val="00EA1E32"/>
    <w:rsid w:val="00EA2E46"/>
    <w:rsid w:val="00EA5EE8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A7078"/>
    <w:rsid w:val="00FB069C"/>
    <w:rsid w:val="00FB1045"/>
    <w:rsid w:val="00FC02C8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3019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8</cp:revision>
  <cp:lastPrinted>2024-02-29T13:47:00Z</cp:lastPrinted>
  <dcterms:created xsi:type="dcterms:W3CDTF">2024-03-20T12:05:00Z</dcterms:created>
  <dcterms:modified xsi:type="dcterms:W3CDTF">2024-04-04T12:29:00Z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